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C5666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C5666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C5666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A11C9" w:rsidP="00DC6C96">
      <w:pPr>
        <w:pStyle w:val="3"/>
        <w:jc w:val="left"/>
        <w:rPr>
          <w:b w:val="0"/>
          <w:sz w:val="15"/>
          <w:lang w:val="uk-UA"/>
        </w:rPr>
      </w:pPr>
      <w:r w:rsidRPr="006C5666">
        <w:rPr>
          <w:b w:val="0"/>
          <w:sz w:val="20"/>
          <w:szCs w:val="20"/>
          <w:u w:val="single"/>
        </w:rPr>
        <w:t>27.04.2020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297854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C5666">
        <w:rPr>
          <w:b w:val="0"/>
          <w:sz w:val="20"/>
          <w:szCs w:val="20"/>
        </w:rPr>
        <w:t xml:space="preserve"> </w:t>
      </w:r>
      <w:r w:rsidR="00297854">
        <w:rPr>
          <w:b w:val="0"/>
          <w:sz w:val="20"/>
          <w:szCs w:val="20"/>
          <w:u w:val="single"/>
          <w:lang w:val="uk-UA"/>
        </w:rPr>
        <w:t>369/02-95</w:t>
      </w:r>
      <w:bookmarkStart w:id="1" w:name="_GoBack"/>
      <w:bookmarkEnd w:id="1"/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29785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A11C9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A11C9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Ранченко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Геннадiй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Степанович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C5666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3A11C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Елемент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A11C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6C5666" w:rsidRDefault="003A11C9" w:rsidP="006C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65078 м. Одеса вул. </w:t>
            </w:r>
            <w:r w:rsidR="006C5666">
              <w:rPr>
                <w:sz w:val="20"/>
                <w:szCs w:val="20"/>
                <w:lang w:val="uk-UA"/>
              </w:rPr>
              <w:t>Геро</w:t>
            </w:r>
            <w:r>
              <w:rPr>
                <w:sz w:val="20"/>
                <w:szCs w:val="20"/>
                <w:lang w:val="uk-UA"/>
              </w:rPr>
              <w:t>ї</w:t>
            </w:r>
            <w:r w:rsidR="006C5666">
              <w:rPr>
                <w:sz w:val="20"/>
                <w:szCs w:val="20"/>
                <w:lang w:val="uk-UA"/>
              </w:rPr>
              <w:t>в Крут</w:t>
            </w:r>
            <w:r>
              <w:rPr>
                <w:sz w:val="20"/>
                <w:szCs w:val="20"/>
                <w:lang w:val="uk-UA"/>
              </w:rPr>
              <w:t>, 27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30863766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(048) 765-62-52 (048) 765-68-00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odessa@element.od.ua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A11C9" w:rsidRPr="006C5666" w:rsidRDefault="003A11C9" w:rsidP="00DC6C96">
            <w:pPr>
              <w:rPr>
                <w:sz w:val="20"/>
                <w:szCs w:val="20"/>
              </w:rPr>
            </w:pPr>
            <w:proofErr w:type="spellStart"/>
            <w:r w:rsidRPr="006C5666">
              <w:rPr>
                <w:sz w:val="20"/>
                <w:szCs w:val="20"/>
              </w:rPr>
              <w:t>Державна</w:t>
            </w:r>
            <w:proofErr w:type="spellEnd"/>
            <w:r w:rsidRPr="006C5666">
              <w:rPr>
                <w:sz w:val="20"/>
                <w:szCs w:val="20"/>
              </w:rPr>
              <w:t xml:space="preserve"> </w:t>
            </w:r>
            <w:proofErr w:type="spellStart"/>
            <w:r w:rsidRPr="006C5666">
              <w:rPr>
                <w:sz w:val="20"/>
                <w:szCs w:val="20"/>
              </w:rPr>
              <w:t>установа</w:t>
            </w:r>
            <w:proofErr w:type="spellEnd"/>
            <w:r w:rsidRPr="006C5666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6C5666">
              <w:rPr>
                <w:sz w:val="20"/>
                <w:szCs w:val="20"/>
              </w:rPr>
              <w:t>розвитку</w:t>
            </w:r>
            <w:proofErr w:type="spellEnd"/>
            <w:r w:rsidRPr="006C566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6C5666">
              <w:rPr>
                <w:sz w:val="20"/>
                <w:szCs w:val="20"/>
              </w:rPr>
              <w:t>нфраструктури</w:t>
            </w:r>
            <w:proofErr w:type="spellEnd"/>
            <w:r w:rsidRPr="006C5666">
              <w:rPr>
                <w:sz w:val="20"/>
                <w:szCs w:val="20"/>
              </w:rPr>
              <w:t xml:space="preserve"> </w:t>
            </w:r>
            <w:proofErr w:type="gramStart"/>
            <w:r w:rsidRPr="006C5666">
              <w:rPr>
                <w:sz w:val="20"/>
                <w:szCs w:val="20"/>
              </w:rPr>
              <w:t>фондового</w:t>
            </w:r>
            <w:proofErr w:type="gramEnd"/>
            <w:r w:rsidRPr="006C5666">
              <w:rPr>
                <w:sz w:val="20"/>
                <w:szCs w:val="20"/>
              </w:rPr>
              <w:t xml:space="preserve"> ринку </w:t>
            </w:r>
            <w:proofErr w:type="spellStart"/>
            <w:r w:rsidRPr="006C5666">
              <w:rPr>
                <w:sz w:val="20"/>
                <w:szCs w:val="20"/>
              </w:rPr>
              <w:t>України</w:t>
            </w:r>
            <w:proofErr w:type="spellEnd"/>
            <w:r w:rsidRPr="006C5666">
              <w:rPr>
                <w:sz w:val="20"/>
                <w:szCs w:val="20"/>
              </w:rPr>
              <w:t>"</w:t>
            </w:r>
          </w:p>
          <w:p w:rsidR="003A11C9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A11C9" w:rsidRDefault="003A11C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3A11C9" w:rsidRPr="006C5666" w:rsidRDefault="003A11C9" w:rsidP="00DC6C96">
            <w:pPr>
              <w:rPr>
                <w:sz w:val="20"/>
                <w:szCs w:val="20"/>
              </w:rPr>
            </w:pPr>
            <w:proofErr w:type="spellStart"/>
            <w:r w:rsidRPr="006C5666">
              <w:rPr>
                <w:sz w:val="20"/>
                <w:szCs w:val="20"/>
              </w:rPr>
              <w:t>Державна</w:t>
            </w:r>
            <w:proofErr w:type="spellEnd"/>
            <w:r w:rsidRPr="006C5666">
              <w:rPr>
                <w:sz w:val="20"/>
                <w:szCs w:val="20"/>
              </w:rPr>
              <w:t xml:space="preserve"> </w:t>
            </w:r>
            <w:proofErr w:type="spellStart"/>
            <w:r w:rsidRPr="006C5666">
              <w:rPr>
                <w:sz w:val="20"/>
                <w:szCs w:val="20"/>
              </w:rPr>
              <w:t>установа</w:t>
            </w:r>
            <w:proofErr w:type="spellEnd"/>
            <w:r w:rsidRPr="006C5666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6C5666">
              <w:rPr>
                <w:sz w:val="20"/>
                <w:szCs w:val="20"/>
              </w:rPr>
              <w:t>розвитку</w:t>
            </w:r>
            <w:proofErr w:type="spellEnd"/>
            <w:r w:rsidRPr="006C5666">
              <w:rPr>
                <w:sz w:val="20"/>
                <w:szCs w:val="20"/>
              </w:rPr>
              <w:t xml:space="preserve"> </w:t>
            </w:r>
            <w:proofErr w:type="spellStart"/>
            <w:r w:rsidRPr="006C5666">
              <w:rPr>
                <w:sz w:val="20"/>
                <w:szCs w:val="20"/>
              </w:rPr>
              <w:t>інфраструктури</w:t>
            </w:r>
            <w:proofErr w:type="spellEnd"/>
            <w:r w:rsidRPr="006C5666">
              <w:rPr>
                <w:sz w:val="20"/>
                <w:szCs w:val="20"/>
              </w:rPr>
              <w:t xml:space="preserve"> </w:t>
            </w:r>
            <w:proofErr w:type="gramStart"/>
            <w:r w:rsidRPr="006C5666">
              <w:rPr>
                <w:sz w:val="20"/>
                <w:szCs w:val="20"/>
              </w:rPr>
              <w:t>фондового</w:t>
            </w:r>
            <w:proofErr w:type="gramEnd"/>
            <w:r w:rsidRPr="006C5666">
              <w:rPr>
                <w:sz w:val="20"/>
                <w:szCs w:val="20"/>
              </w:rPr>
              <w:t xml:space="preserve"> ринку </w:t>
            </w:r>
            <w:proofErr w:type="spellStart"/>
            <w:r w:rsidRPr="006C5666">
              <w:rPr>
                <w:sz w:val="20"/>
                <w:szCs w:val="20"/>
              </w:rPr>
              <w:t>України</w:t>
            </w:r>
            <w:proofErr w:type="spellEnd"/>
            <w:r w:rsidRPr="006C5666">
              <w:rPr>
                <w:sz w:val="20"/>
                <w:szCs w:val="20"/>
              </w:rPr>
              <w:t>"</w:t>
            </w:r>
          </w:p>
          <w:p w:rsidR="003A11C9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A11C9" w:rsidRDefault="003A11C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3A11C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A11C9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www.element.odessa.ua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A11C9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14128" w:rsidRDefault="00614128" w:rsidP="00C86AFD">
      <w:pPr>
        <w:rPr>
          <w:lang w:val="en-US"/>
        </w:rPr>
      </w:pPr>
    </w:p>
    <w:p w:rsidR="00614128" w:rsidRDefault="00614128" w:rsidP="0061412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 w:rsidRPr="006C5666">
        <w:br w:type="page"/>
      </w:r>
      <w:r>
        <w:rPr>
          <w:sz w:val="20"/>
          <w:szCs w:val="20"/>
        </w:rPr>
        <w:lastRenderedPageBreak/>
        <w:t xml:space="preserve">                                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5</w:t>
      </w:r>
      <w:r>
        <w:rPr>
          <w:sz w:val="20"/>
          <w:szCs w:val="20"/>
        </w:rPr>
        <w:br/>
        <w:t xml:space="preserve">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емітентами</w:t>
      </w:r>
      <w:proofErr w:type="spellEnd"/>
      <w:r>
        <w:rPr>
          <w:sz w:val="20"/>
          <w:szCs w:val="20"/>
        </w:rPr>
        <w:t xml:space="preserve"> </w:t>
      </w:r>
    </w:p>
    <w:p w:rsidR="00614128" w:rsidRDefault="00614128" w:rsidP="0061412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6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</w:t>
      </w:r>
    </w:p>
    <w:p w:rsidR="00614128" w:rsidRDefault="00614128" w:rsidP="00614128">
      <w:pPr>
        <w:pStyle w:val="a4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попереднє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згоди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вчинення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87"/>
        <w:gridCol w:w="1744"/>
        <w:gridCol w:w="1946"/>
        <w:gridCol w:w="3245"/>
      </w:tblGrid>
      <w:tr w:rsidR="00614128" w:rsidTr="00614128">
        <w:trPr>
          <w:trHeight w:val="12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(тис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рн.)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Спі</w:t>
            </w:r>
            <w:proofErr w:type="gramStart"/>
            <w:r>
              <w:rPr>
                <w:b/>
                <w:sz w:val="20"/>
                <w:szCs w:val="20"/>
              </w:rPr>
              <w:t>вв</w:t>
            </w:r>
            <w:proofErr w:type="gramEnd"/>
            <w:r>
              <w:rPr>
                <w:b/>
                <w:sz w:val="20"/>
                <w:szCs w:val="20"/>
              </w:rPr>
              <w:t>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граничної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14128" w:rsidTr="00614128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14128" w:rsidTr="00614128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61196.000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163.40937000000</w:t>
            </w:r>
          </w:p>
        </w:tc>
      </w:tr>
      <w:tr w:rsidR="00614128" w:rsidTr="00614128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</w:t>
            </w: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614128" w:rsidTr="00614128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8" w:rsidRDefault="006141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24.04.2020 р. (протокол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24.04.2020 р.)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14128" w:rsidRDefault="006141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Відомості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характеру - </w:t>
            </w:r>
            <w:proofErr w:type="spellStart"/>
            <w:r>
              <w:rPr>
                <w:sz w:val="20"/>
                <w:szCs w:val="20"/>
              </w:rPr>
              <w:t>правочини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пов'язан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господарською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діяльністю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статутом;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>, застав (</w:t>
            </w:r>
            <w:proofErr w:type="spellStart"/>
            <w:r>
              <w:rPr>
                <w:sz w:val="20"/>
                <w:szCs w:val="20"/>
              </w:rPr>
              <w:t>іпотеки</w:t>
            </w:r>
            <w:proofErr w:type="spellEnd"/>
            <w:r>
              <w:rPr>
                <w:sz w:val="20"/>
                <w:szCs w:val="20"/>
              </w:rPr>
              <w:t xml:space="preserve">), порук, </w:t>
            </w:r>
            <w:proofErr w:type="spellStart"/>
            <w:r>
              <w:rPr>
                <w:sz w:val="20"/>
                <w:szCs w:val="20"/>
              </w:rPr>
              <w:t>гарантій</w:t>
            </w:r>
            <w:proofErr w:type="spellEnd"/>
            <w:r>
              <w:rPr>
                <w:sz w:val="20"/>
                <w:szCs w:val="20"/>
              </w:rPr>
              <w:t xml:space="preserve">, 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третіх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вчинятимуться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якими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є предметом кожного такого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становить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10 до 25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, але </w:t>
            </w:r>
            <w:proofErr w:type="spellStart"/>
            <w:r>
              <w:rPr>
                <w:sz w:val="20"/>
                <w:szCs w:val="20"/>
              </w:rPr>
              <w:t>менша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ніж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становить 50 і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100 000,00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директору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Ранченко</w:t>
            </w:r>
            <w:proofErr w:type="spellEnd"/>
            <w:r>
              <w:rPr>
                <w:sz w:val="20"/>
                <w:szCs w:val="20"/>
              </w:rPr>
              <w:t xml:space="preserve"> Г.С.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схвалених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здійснювати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необхідні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схвалені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14128" w:rsidRDefault="006141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100 000,00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14128" w:rsidRDefault="006141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складає</w:t>
            </w:r>
            <w:proofErr w:type="spellEnd"/>
            <w:r>
              <w:rPr>
                <w:sz w:val="20"/>
                <w:szCs w:val="20"/>
              </w:rPr>
              <w:t xml:space="preserve"> 61 196 тис. грн.</w:t>
            </w:r>
          </w:p>
          <w:p w:rsidR="00614128" w:rsidRDefault="006141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Спі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ідношення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складає</w:t>
            </w:r>
            <w:proofErr w:type="spellEnd"/>
            <w:r>
              <w:rPr>
                <w:sz w:val="20"/>
                <w:szCs w:val="20"/>
              </w:rPr>
              <w:t xml:space="preserve"> 163,4094%.</w:t>
            </w:r>
          </w:p>
          <w:p w:rsidR="00614128" w:rsidRDefault="006141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складає</w:t>
            </w:r>
            <w:proofErr w:type="spellEnd"/>
            <w:r>
              <w:rPr>
                <w:sz w:val="20"/>
                <w:szCs w:val="20"/>
              </w:rPr>
              <w:t xml:space="preserve"> 80 000 шт.,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зареєстровані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- 75 200 шт.,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- 75 200 шт. та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- 0 шт.</w:t>
            </w:r>
          </w:p>
        </w:tc>
      </w:tr>
    </w:tbl>
    <w:p w:rsidR="00614128" w:rsidRPr="006C5666" w:rsidRDefault="00614128" w:rsidP="00614128"/>
    <w:p w:rsidR="003C4C1A" w:rsidRPr="006C5666" w:rsidRDefault="003C4C1A" w:rsidP="00C86AFD"/>
    <w:sectPr w:rsidR="003C4C1A" w:rsidRPr="006C5666" w:rsidSect="003A11C9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C9"/>
    <w:rsid w:val="00020BCB"/>
    <w:rsid w:val="001714DF"/>
    <w:rsid w:val="00297854"/>
    <w:rsid w:val="002D6506"/>
    <w:rsid w:val="003275D1"/>
    <w:rsid w:val="00375E69"/>
    <w:rsid w:val="003A11C9"/>
    <w:rsid w:val="003C4C1A"/>
    <w:rsid w:val="004263EB"/>
    <w:rsid w:val="0044001B"/>
    <w:rsid w:val="004E61FF"/>
    <w:rsid w:val="00531337"/>
    <w:rsid w:val="00614128"/>
    <w:rsid w:val="006C5666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9D06-F9DA-4B9A-B16F-B2527C99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4</cp:revision>
  <cp:lastPrinted>2013-07-11T13:29:00Z</cp:lastPrinted>
  <dcterms:created xsi:type="dcterms:W3CDTF">2020-04-27T13:57:00Z</dcterms:created>
  <dcterms:modified xsi:type="dcterms:W3CDTF">2020-04-27T14:23:00Z</dcterms:modified>
</cp:coreProperties>
</file>